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46198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3260"/>
        <w:gridCol w:w="3279"/>
      </w:tblGrid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bookmarkStart w:id="0" w:name="_GoBack"/>
        <w:bookmarkEnd w:id="0"/>
      </w:tr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BD67AE" w:rsidRDefault="00BD67AE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BD67AE">
              <w:rPr>
                <w:rFonts w:ascii="Calibri" w:hAnsi="Calibri" w:cs="Calibri"/>
                <w:b/>
                <w:szCs w:val="24"/>
              </w:rPr>
              <w:t xml:space="preserve">Přepracování projektové dokumentace </w:t>
            </w:r>
            <w:bookmarkStart w:id="1" w:name="_Hlk38696324"/>
            <w:r w:rsidRPr="00BD67AE">
              <w:rPr>
                <w:rFonts w:ascii="Calibri" w:hAnsi="Calibri" w:cs="Calibri"/>
                <w:b/>
                <w:szCs w:val="24"/>
              </w:rPr>
              <w:t>III/03824 Jihlava, ul. R. Havelky, Pražská</w:t>
            </w:r>
            <w:bookmarkEnd w:id="1"/>
          </w:p>
        </w:tc>
      </w:tr>
      <w:tr w:rsidR="007E3050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1983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D67AE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17</cp:revision>
  <cp:lastPrinted>2020-03-17T07:04:00Z</cp:lastPrinted>
  <dcterms:created xsi:type="dcterms:W3CDTF">2017-10-17T10:00:00Z</dcterms:created>
  <dcterms:modified xsi:type="dcterms:W3CDTF">2020-07-24T07:55:00Z</dcterms:modified>
</cp:coreProperties>
</file>